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D1D4" w14:textId="77777777" w:rsidR="00C50F8C" w:rsidRPr="00C50F8C" w:rsidRDefault="00C50F8C" w:rsidP="00C50F8C">
      <w:pPr>
        <w:rPr>
          <w:b/>
          <w:bCs/>
          <w:sz w:val="22"/>
          <w:szCs w:val="22"/>
        </w:rPr>
      </w:pPr>
      <w:r w:rsidRPr="00C50F8C">
        <w:rPr>
          <w:b/>
          <w:bCs/>
          <w:sz w:val="22"/>
          <w:szCs w:val="22"/>
        </w:rPr>
        <w:t>West Virginia Department of Commerce</w:t>
      </w:r>
    </w:p>
    <w:p w14:paraId="606BAC5F" w14:textId="77777777" w:rsidR="00C50F8C" w:rsidRPr="00C50F8C" w:rsidRDefault="00C50F8C" w:rsidP="00C50F8C">
      <w:pPr>
        <w:rPr>
          <w:b/>
          <w:bCs/>
          <w:sz w:val="22"/>
          <w:szCs w:val="22"/>
        </w:rPr>
      </w:pPr>
      <w:r w:rsidRPr="00C50F8C">
        <w:rPr>
          <w:b/>
          <w:bCs/>
          <w:sz w:val="22"/>
          <w:szCs w:val="22"/>
        </w:rPr>
        <w:t>Certified Microgrid Development Program (CMDP)</w:t>
      </w:r>
    </w:p>
    <w:p w14:paraId="1DC0AA1B" w14:textId="77777777" w:rsidR="00C50F8C" w:rsidRPr="00C50F8C" w:rsidRDefault="00C50F8C" w:rsidP="00C50F8C">
      <w:pPr>
        <w:rPr>
          <w:b/>
          <w:bCs/>
          <w:sz w:val="22"/>
          <w:szCs w:val="22"/>
        </w:rPr>
      </w:pPr>
      <w:r w:rsidRPr="00C50F8C">
        <w:rPr>
          <w:b/>
          <w:bCs/>
          <w:sz w:val="22"/>
          <w:szCs w:val="22"/>
        </w:rPr>
        <w:t>Application Instructions</w:t>
      </w:r>
    </w:p>
    <w:p w14:paraId="034A8F60" w14:textId="5DAFF38F" w:rsidR="00C50F8C" w:rsidRPr="00C50F8C" w:rsidRDefault="00C50F8C" w:rsidP="00C50F8C">
      <w:pPr>
        <w:rPr>
          <w:b/>
          <w:bCs/>
          <w:sz w:val="22"/>
          <w:szCs w:val="22"/>
        </w:rPr>
      </w:pPr>
      <w:r w:rsidRPr="00C50F8C">
        <w:rPr>
          <w:b/>
          <w:bCs/>
          <w:sz w:val="22"/>
          <w:szCs w:val="22"/>
        </w:rPr>
        <w:t>Requirements for Microgrid District Certification</w:t>
      </w:r>
    </w:p>
    <w:p w14:paraId="5E6B06E0" w14:textId="77777777" w:rsidR="00C50F8C" w:rsidRPr="00C50F8C" w:rsidRDefault="00C50F8C" w:rsidP="00C50F8C">
      <w:pPr>
        <w:rPr>
          <w:sz w:val="22"/>
          <w:szCs w:val="22"/>
        </w:rPr>
      </w:pPr>
      <w:r w:rsidRPr="00C50F8C">
        <w:rPr>
          <w:sz w:val="22"/>
          <w:szCs w:val="22"/>
        </w:rPr>
        <w:t>To qualify for certification under the CMDP, a microgrid must be located within a designated microgrid district. A district may be certified upon demonstrating that:</w:t>
      </w:r>
    </w:p>
    <w:p w14:paraId="4AF3B7A3" w14:textId="77777777" w:rsidR="00C50F8C" w:rsidRPr="00C50F8C" w:rsidRDefault="00C50F8C" w:rsidP="00C50F8C">
      <w:pPr>
        <w:numPr>
          <w:ilvl w:val="0"/>
          <w:numId w:val="3"/>
        </w:numPr>
        <w:rPr>
          <w:sz w:val="22"/>
          <w:szCs w:val="22"/>
        </w:rPr>
      </w:pPr>
      <w:r w:rsidRPr="00C50F8C">
        <w:rPr>
          <w:sz w:val="22"/>
          <w:szCs w:val="22"/>
        </w:rPr>
        <w:t>It will generate a significant and positive economic impact for the state.</w:t>
      </w:r>
    </w:p>
    <w:p w14:paraId="02D8C727" w14:textId="77777777" w:rsidR="00C50F8C" w:rsidRPr="00C50F8C" w:rsidRDefault="00C50F8C" w:rsidP="00C50F8C">
      <w:pPr>
        <w:numPr>
          <w:ilvl w:val="0"/>
          <w:numId w:val="3"/>
        </w:numPr>
        <w:rPr>
          <w:sz w:val="22"/>
          <w:szCs w:val="22"/>
        </w:rPr>
      </w:pPr>
      <w:r w:rsidRPr="00C50F8C">
        <w:rPr>
          <w:sz w:val="22"/>
          <w:szCs w:val="22"/>
        </w:rPr>
        <w:t>It is essential to attract at least two businesses to establish or expand operations in West Virginia.</w:t>
      </w:r>
    </w:p>
    <w:p w14:paraId="515CDBF6" w14:textId="77777777" w:rsidR="00C50F8C" w:rsidRPr="00C50F8C" w:rsidRDefault="00C50F8C" w:rsidP="00C50F8C">
      <w:pPr>
        <w:numPr>
          <w:ilvl w:val="0"/>
          <w:numId w:val="3"/>
        </w:numPr>
        <w:rPr>
          <w:sz w:val="22"/>
          <w:szCs w:val="22"/>
        </w:rPr>
      </w:pPr>
      <w:r w:rsidRPr="00C50F8C">
        <w:rPr>
          <w:sz w:val="22"/>
          <w:szCs w:val="22"/>
        </w:rPr>
        <w:t>It encompasses a nearly contiguous area not exceeding 2,250 acres.</w:t>
      </w:r>
    </w:p>
    <w:p w14:paraId="726F606E" w14:textId="77777777" w:rsidR="00C50F8C" w:rsidRPr="00C50F8C" w:rsidRDefault="00C50F8C" w:rsidP="00C50F8C">
      <w:pPr>
        <w:numPr>
          <w:ilvl w:val="0"/>
          <w:numId w:val="3"/>
        </w:numPr>
        <w:rPr>
          <w:sz w:val="22"/>
          <w:szCs w:val="22"/>
        </w:rPr>
      </w:pPr>
      <w:r w:rsidRPr="00C50F8C">
        <w:rPr>
          <w:sz w:val="22"/>
          <w:szCs w:val="22"/>
        </w:rPr>
        <w:t>It will generate electricity exclusively for use within the district or for delivery to the wholesale market.</w:t>
      </w:r>
    </w:p>
    <w:p w14:paraId="35D35AAA" w14:textId="77777777" w:rsidR="00C50F8C" w:rsidRPr="00C50F8C" w:rsidRDefault="00C50F8C" w:rsidP="00C50F8C">
      <w:pPr>
        <w:numPr>
          <w:ilvl w:val="0"/>
          <w:numId w:val="3"/>
        </w:numPr>
        <w:rPr>
          <w:sz w:val="22"/>
          <w:szCs w:val="22"/>
        </w:rPr>
      </w:pPr>
      <w:r w:rsidRPr="00C50F8C">
        <w:rPr>
          <w:sz w:val="22"/>
          <w:szCs w:val="22"/>
        </w:rPr>
        <w:t>More than 70% of the electricity generated will be consumed by one or more high-impact data centers.</w:t>
      </w:r>
    </w:p>
    <w:p w14:paraId="084A0B98" w14:textId="4F0934D0" w:rsidR="00C50F8C" w:rsidRPr="00C50F8C" w:rsidRDefault="00C50F8C" w:rsidP="00C50F8C">
      <w:pPr>
        <w:rPr>
          <w:b/>
          <w:bCs/>
          <w:sz w:val="22"/>
          <w:szCs w:val="22"/>
        </w:rPr>
      </w:pPr>
      <w:r w:rsidRPr="00C50F8C">
        <w:rPr>
          <w:b/>
          <w:bCs/>
          <w:sz w:val="22"/>
          <w:szCs w:val="22"/>
        </w:rPr>
        <w:t>Letter of Intent (LOI) Submission Requirements</w:t>
      </w:r>
    </w:p>
    <w:p w14:paraId="1BAB85E9" w14:textId="77777777" w:rsidR="00C50F8C" w:rsidRPr="00C50F8C" w:rsidRDefault="00C50F8C" w:rsidP="00C50F8C">
      <w:pPr>
        <w:rPr>
          <w:sz w:val="22"/>
          <w:szCs w:val="22"/>
        </w:rPr>
      </w:pPr>
      <w:r w:rsidRPr="00C50F8C">
        <w:rPr>
          <w:sz w:val="22"/>
          <w:szCs w:val="22"/>
        </w:rPr>
        <w:t>To apply for CMDP certification, applicants must submit a Letter of Intent (LOI) to the Secretary of Commerce. The LOI must include the following details:</w:t>
      </w:r>
    </w:p>
    <w:p w14:paraId="1E3CFE42" w14:textId="77777777" w:rsidR="00C50F8C" w:rsidRPr="00C50F8C" w:rsidRDefault="00C50F8C" w:rsidP="00C50F8C">
      <w:pPr>
        <w:numPr>
          <w:ilvl w:val="0"/>
          <w:numId w:val="4"/>
        </w:numPr>
        <w:rPr>
          <w:sz w:val="22"/>
          <w:szCs w:val="22"/>
        </w:rPr>
      </w:pPr>
      <w:r w:rsidRPr="00C50F8C">
        <w:rPr>
          <w:sz w:val="22"/>
          <w:szCs w:val="22"/>
        </w:rPr>
        <w:t>(a) Size, scope, and nature of the target customer base</w:t>
      </w:r>
    </w:p>
    <w:p w14:paraId="24F2EFD0" w14:textId="77777777" w:rsidR="00C50F8C" w:rsidRPr="00C50F8C" w:rsidRDefault="00C50F8C" w:rsidP="00C50F8C">
      <w:pPr>
        <w:numPr>
          <w:ilvl w:val="0"/>
          <w:numId w:val="4"/>
        </w:numPr>
        <w:rPr>
          <w:sz w:val="22"/>
          <w:szCs w:val="22"/>
        </w:rPr>
      </w:pPr>
      <w:r w:rsidRPr="00C50F8C">
        <w:rPr>
          <w:sz w:val="22"/>
          <w:szCs w:val="22"/>
        </w:rPr>
        <w:t>(b) Approximate acreage and location of the proposed project</w:t>
      </w:r>
    </w:p>
    <w:p w14:paraId="16E6BD21" w14:textId="77777777" w:rsidR="00C50F8C" w:rsidRPr="00C50F8C" w:rsidRDefault="00C50F8C" w:rsidP="00C50F8C">
      <w:pPr>
        <w:numPr>
          <w:ilvl w:val="0"/>
          <w:numId w:val="4"/>
        </w:numPr>
        <w:rPr>
          <w:sz w:val="22"/>
          <w:szCs w:val="22"/>
        </w:rPr>
      </w:pPr>
      <w:r w:rsidRPr="00C50F8C">
        <w:rPr>
          <w:sz w:val="22"/>
          <w:szCs w:val="22"/>
        </w:rPr>
        <w:t>(c) Estimated capital investment</w:t>
      </w:r>
    </w:p>
    <w:p w14:paraId="2CF2682A" w14:textId="77777777" w:rsidR="00C50F8C" w:rsidRPr="00C50F8C" w:rsidRDefault="00C50F8C" w:rsidP="00C50F8C">
      <w:pPr>
        <w:numPr>
          <w:ilvl w:val="0"/>
          <w:numId w:val="4"/>
        </w:numPr>
        <w:rPr>
          <w:sz w:val="22"/>
          <w:szCs w:val="22"/>
        </w:rPr>
      </w:pPr>
      <w:r w:rsidRPr="00C50F8C">
        <w:rPr>
          <w:sz w:val="22"/>
          <w:szCs w:val="22"/>
        </w:rPr>
        <w:t>(d) Evidence of financial capacity</w:t>
      </w:r>
    </w:p>
    <w:p w14:paraId="6A92F08B" w14:textId="77777777" w:rsidR="00C50F8C" w:rsidRPr="00C50F8C" w:rsidRDefault="00C50F8C" w:rsidP="00C50F8C">
      <w:pPr>
        <w:numPr>
          <w:ilvl w:val="0"/>
          <w:numId w:val="4"/>
        </w:numPr>
        <w:rPr>
          <w:sz w:val="22"/>
          <w:szCs w:val="22"/>
        </w:rPr>
      </w:pPr>
      <w:r w:rsidRPr="00C50F8C">
        <w:rPr>
          <w:sz w:val="22"/>
          <w:szCs w:val="22"/>
        </w:rPr>
        <w:t>(e) Estimated project completion date</w:t>
      </w:r>
    </w:p>
    <w:p w14:paraId="2222E3CF" w14:textId="77777777" w:rsidR="00C50F8C" w:rsidRPr="00C50F8C" w:rsidRDefault="00C50F8C" w:rsidP="00C50F8C">
      <w:pPr>
        <w:numPr>
          <w:ilvl w:val="0"/>
          <w:numId w:val="4"/>
        </w:numPr>
        <w:rPr>
          <w:sz w:val="22"/>
          <w:szCs w:val="22"/>
        </w:rPr>
      </w:pPr>
      <w:r w:rsidRPr="00C50F8C">
        <w:rPr>
          <w:sz w:val="22"/>
          <w:szCs w:val="22"/>
        </w:rPr>
        <w:t>(f) Major project milestones</w:t>
      </w:r>
    </w:p>
    <w:p w14:paraId="2F8A3179" w14:textId="77777777" w:rsidR="00C50F8C" w:rsidRPr="00C50F8C" w:rsidRDefault="00C50F8C" w:rsidP="00C50F8C">
      <w:pPr>
        <w:numPr>
          <w:ilvl w:val="0"/>
          <w:numId w:val="4"/>
        </w:numPr>
        <w:rPr>
          <w:sz w:val="22"/>
          <w:szCs w:val="22"/>
        </w:rPr>
      </w:pPr>
      <w:r w:rsidRPr="00C50F8C">
        <w:rPr>
          <w:sz w:val="22"/>
          <w:szCs w:val="22"/>
        </w:rPr>
        <w:t>(g) Estimated generation capacity</w:t>
      </w:r>
    </w:p>
    <w:p w14:paraId="6398CE6A" w14:textId="77777777" w:rsidR="00C50F8C" w:rsidRPr="00C50F8C" w:rsidRDefault="00C50F8C" w:rsidP="00C50F8C">
      <w:pPr>
        <w:numPr>
          <w:ilvl w:val="0"/>
          <w:numId w:val="4"/>
        </w:numPr>
        <w:rPr>
          <w:sz w:val="22"/>
          <w:szCs w:val="22"/>
        </w:rPr>
      </w:pPr>
      <w:r w:rsidRPr="00C50F8C">
        <w:rPr>
          <w:sz w:val="22"/>
          <w:szCs w:val="22"/>
        </w:rPr>
        <w:t>(h) Estimated internal power loading within the microgrid</w:t>
      </w:r>
    </w:p>
    <w:p w14:paraId="7833A214" w14:textId="0D385439" w:rsidR="00C50F8C" w:rsidRPr="00C50F8C" w:rsidRDefault="00C50F8C" w:rsidP="00C50F8C">
      <w:pPr>
        <w:numPr>
          <w:ilvl w:val="0"/>
          <w:numId w:val="4"/>
        </w:numPr>
        <w:rPr>
          <w:sz w:val="22"/>
          <w:szCs w:val="22"/>
        </w:rPr>
      </w:pPr>
      <w:r w:rsidRPr="00C50F8C">
        <w:rPr>
          <w:sz w:val="22"/>
          <w:szCs w:val="22"/>
        </w:rPr>
        <w:t>(</w:t>
      </w:r>
      <w:proofErr w:type="spellStart"/>
      <w:r w:rsidRPr="00C50F8C">
        <w:rPr>
          <w:sz w:val="22"/>
          <w:szCs w:val="22"/>
        </w:rPr>
        <w:t>i</w:t>
      </w:r>
      <w:proofErr w:type="spellEnd"/>
      <w:r w:rsidRPr="00C50F8C">
        <w:rPr>
          <w:sz w:val="22"/>
          <w:szCs w:val="22"/>
        </w:rPr>
        <w:t xml:space="preserve">) Estimated power </w:t>
      </w:r>
      <w:r w:rsidRPr="00C50F8C">
        <w:rPr>
          <w:sz w:val="22"/>
          <w:szCs w:val="22"/>
        </w:rPr>
        <w:t xml:space="preserve">requirements, </w:t>
      </w:r>
      <w:r w:rsidRPr="00C50F8C">
        <w:rPr>
          <w:sz w:val="22"/>
          <w:szCs w:val="22"/>
        </w:rPr>
        <w:t>including backup—from the local distribution electric utility</w:t>
      </w:r>
    </w:p>
    <w:p w14:paraId="6FDDD6D8" w14:textId="77777777" w:rsidR="00C50F8C" w:rsidRPr="00C50F8C" w:rsidRDefault="00C50F8C" w:rsidP="00C50F8C">
      <w:pPr>
        <w:numPr>
          <w:ilvl w:val="0"/>
          <w:numId w:val="4"/>
        </w:numPr>
        <w:rPr>
          <w:sz w:val="22"/>
          <w:szCs w:val="22"/>
        </w:rPr>
      </w:pPr>
      <w:r w:rsidRPr="00C50F8C">
        <w:rPr>
          <w:sz w:val="22"/>
          <w:szCs w:val="22"/>
        </w:rPr>
        <w:t>(j) Estimated power to be supplied to the wholesale market</w:t>
      </w:r>
    </w:p>
    <w:p w14:paraId="2C8806CB" w14:textId="77777777" w:rsidR="00C50F8C" w:rsidRPr="00C50F8C" w:rsidRDefault="00C50F8C" w:rsidP="00C50F8C">
      <w:pPr>
        <w:numPr>
          <w:ilvl w:val="0"/>
          <w:numId w:val="4"/>
        </w:numPr>
        <w:rPr>
          <w:sz w:val="22"/>
          <w:szCs w:val="22"/>
        </w:rPr>
      </w:pPr>
      <w:r w:rsidRPr="00C50F8C">
        <w:rPr>
          <w:sz w:val="22"/>
          <w:szCs w:val="22"/>
        </w:rPr>
        <w:t>(k) Types and sources of each electric power generation unit</w:t>
      </w:r>
    </w:p>
    <w:p w14:paraId="797969FE" w14:textId="77777777" w:rsidR="00C50F8C" w:rsidRPr="00C50F8C" w:rsidRDefault="00C50F8C" w:rsidP="00C50F8C">
      <w:pPr>
        <w:rPr>
          <w:sz w:val="22"/>
          <w:szCs w:val="22"/>
        </w:rPr>
      </w:pPr>
      <w:r w:rsidRPr="00C50F8C">
        <w:rPr>
          <w:sz w:val="22"/>
          <w:szCs w:val="22"/>
        </w:rPr>
        <w:lastRenderedPageBreak/>
        <w:t>The LOI will be treated as confidential and is exempt from disclosure under the West Virginia Freedom of Information Act.</w:t>
      </w:r>
    </w:p>
    <w:p w14:paraId="41E423B8" w14:textId="2AF40962" w:rsidR="00C50F8C" w:rsidRPr="00C50F8C" w:rsidRDefault="00C50F8C" w:rsidP="00C50F8C">
      <w:pPr>
        <w:rPr>
          <w:b/>
          <w:bCs/>
          <w:sz w:val="22"/>
          <w:szCs w:val="22"/>
        </w:rPr>
      </w:pPr>
      <w:r w:rsidRPr="00C50F8C">
        <w:rPr>
          <w:b/>
          <w:bCs/>
          <w:sz w:val="22"/>
          <w:szCs w:val="22"/>
        </w:rPr>
        <w:t>Pre-Submission Requirements</w:t>
      </w:r>
    </w:p>
    <w:p w14:paraId="683B19CA" w14:textId="77777777" w:rsidR="00C50F8C" w:rsidRPr="00C50F8C" w:rsidRDefault="00C50F8C" w:rsidP="00C50F8C">
      <w:pPr>
        <w:rPr>
          <w:sz w:val="22"/>
          <w:szCs w:val="22"/>
        </w:rPr>
      </w:pPr>
      <w:r w:rsidRPr="00C50F8C">
        <w:rPr>
          <w:sz w:val="22"/>
          <w:szCs w:val="22"/>
        </w:rPr>
        <w:t>At least 120 days prior to submitting the LOI, applicants must make good-faith efforts to negotiate with the local electric utility for the supply of all or part of the project's electricity needs. Documentation of these efforts must be included in the LOI.</w:t>
      </w:r>
    </w:p>
    <w:p w14:paraId="3E595351" w14:textId="77777777" w:rsidR="00C50F8C" w:rsidRPr="00C50F8C" w:rsidRDefault="00C50F8C" w:rsidP="00C50F8C">
      <w:pPr>
        <w:rPr>
          <w:sz w:val="22"/>
          <w:szCs w:val="22"/>
        </w:rPr>
      </w:pPr>
      <w:r w:rsidRPr="00C50F8C">
        <w:rPr>
          <w:b/>
          <w:bCs/>
          <w:sz w:val="22"/>
          <w:szCs w:val="22"/>
        </w:rPr>
        <w:t>Exceptions:</w:t>
      </w:r>
      <w:r w:rsidRPr="00C50F8C">
        <w:rPr>
          <w:sz w:val="22"/>
          <w:szCs w:val="22"/>
        </w:rPr>
        <w:t xml:space="preserve"> This negotiation and time-period requirement </w:t>
      </w:r>
      <w:proofErr w:type="gramStart"/>
      <w:r w:rsidRPr="00C50F8C">
        <w:rPr>
          <w:sz w:val="22"/>
          <w:szCs w:val="22"/>
        </w:rPr>
        <w:t>does</w:t>
      </w:r>
      <w:proofErr w:type="gramEnd"/>
      <w:r w:rsidRPr="00C50F8C">
        <w:rPr>
          <w:sz w:val="22"/>
          <w:szCs w:val="22"/>
        </w:rPr>
        <w:t xml:space="preserve"> not apply to districts proposing to:</w:t>
      </w:r>
    </w:p>
    <w:p w14:paraId="03DE2AB6" w14:textId="77777777" w:rsidR="00C50F8C" w:rsidRPr="00C50F8C" w:rsidRDefault="00C50F8C" w:rsidP="00C50F8C">
      <w:pPr>
        <w:numPr>
          <w:ilvl w:val="0"/>
          <w:numId w:val="5"/>
        </w:numPr>
        <w:rPr>
          <w:sz w:val="22"/>
          <w:szCs w:val="22"/>
        </w:rPr>
      </w:pPr>
      <w:r w:rsidRPr="00C50F8C">
        <w:rPr>
          <w:sz w:val="22"/>
          <w:szCs w:val="22"/>
        </w:rPr>
        <w:t>Generate 300 megawatts or more of electricity, or</w:t>
      </w:r>
    </w:p>
    <w:p w14:paraId="7D194B40" w14:textId="77777777" w:rsidR="00C50F8C" w:rsidRPr="00C50F8C" w:rsidRDefault="00C50F8C" w:rsidP="00C50F8C">
      <w:pPr>
        <w:numPr>
          <w:ilvl w:val="0"/>
          <w:numId w:val="5"/>
        </w:numPr>
        <w:rPr>
          <w:sz w:val="22"/>
          <w:szCs w:val="22"/>
        </w:rPr>
      </w:pPr>
      <w:r w:rsidRPr="00C50F8C">
        <w:rPr>
          <w:sz w:val="22"/>
          <w:szCs w:val="22"/>
        </w:rPr>
        <w:t>Operate independently from the local distribution electric utility upon completion of construction.</w:t>
      </w:r>
    </w:p>
    <w:p w14:paraId="4E68CCDC" w14:textId="20C3CFA1" w:rsidR="00C50F8C" w:rsidRPr="00C50F8C" w:rsidRDefault="00C50F8C" w:rsidP="00C50F8C">
      <w:pPr>
        <w:rPr>
          <w:b/>
          <w:bCs/>
          <w:sz w:val="22"/>
          <w:szCs w:val="22"/>
        </w:rPr>
      </w:pPr>
      <w:r w:rsidRPr="00C50F8C">
        <w:rPr>
          <w:b/>
          <w:bCs/>
          <w:sz w:val="22"/>
          <w:szCs w:val="22"/>
        </w:rPr>
        <w:t>Submission Instructions</w:t>
      </w:r>
    </w:p>
    <w:p w14:paraId="25880271" w14:textId="77777777" w:rsidR="00C50F8C" w:rsidRPr="00C50F8C" w:rsidRDefault="00C50F8C" w:rsidP="00C50F8C">
      <w:pPr>
        <w:rPr>
          <w:sz w:val="22"/>
          <w:szCs w:val="22"/>
        </w:rPr>
      </w:pPr>
      <w:r w:rsidRPr="00C50F8C">
        <w:rPr>
          <w:sz w:val="22"/>
          <w:szCs w:val="22"/>
        </w:rPr>
        <w:t xml:space="preserve">Submit your LOI electronically to: </w:t>
      </w:r>
      <w:r w:rsidRPr="00C50F8C">
        <w:rPr>
          <w:b/>
          <w:bCs/>
          <w:sz w:val="22"/>
          <w:szCs w:val="22"/>
        </w:rPr>
        <w:t>Christopher.G.Morris@wv.gov</w:t>
      </w:r>
    </w:p>
    <w:p w14:paraId="6DD27FD1" w14:textId="77777777" w:rsidR="00C50F8C" w:rsidRPr="00C50F8C" w:rsidRDefault="00C50F8C" w:rsidP="00C50F8C">
      <w:pPr>
        <w:rPr>
          <w:sz w:val="22"/>
          <w:szCs w:val="22"/>
        </w:rPr>
      </w:pPr>
      <w:r w:rsidRPr="00C50F8C">
        <w:rPr>
          <w:sz w:val="22"/>
          <w:szCs w:val="22"/>
        </w:rPr>
        <w:t xml:space="preserve">Or by mail to: </w:t>
      </w:r>
      <w:r w:rsidRPr="00C50F8C">
        <w:rPr>
          <w:b/>
          <w:bCs/>
          <w:sz w:val="22"/>
          <w:szCs w:val="22"/>
        </w:rPr>
        <w:t>Data Economy Office</w:t>
      </w:r>
      <w:r w:rsidRPr="00C50F8C">
        <w:rPr>
          <w:sz w:val="22"/>
          <w:szCs w:val="22"/>
        </w:rPr>
        <w:t xml:space="preserve"> 1900 Kanawha Blvd., East Suite 600, Building 3 Charleston, WV 25305</w:t>
      </w:r>
    </w:p>
    <w:p w14:paraId="0D9059DC" w14:textId="77777777" w:rsidR="00C50F8C" w:rsidRPr="00022832" w:rsidRDefault="00C50F8C" w:rsidP="00A95B8A">
      <w:pPr>
        <w:rPr>
          <w:sz w:val="22"/>
          <w:szCs w:val="22"/>
        </w:rPr>
      </w:pPr>
    </w:p>
    <w:sectPr w:rsidR="00C50F8C" w:rsidRPr="00022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5D3"/>
    <w:multiLevelType w:val="multilevel"/>
    <w:tmpl w:val="08B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63369"/>
    <w:multiLevelType w:val="hybridMultilevel"/>
    <w:tmpl w:val="A4B07DAE"/>
    <w:lvl w:ilvl="0" w:tplc="613CBB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55262D"/>
    <w:multiLevelType w:val="multilevel"/>
    <w:tmpl w:val="B20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F3072"/>
    <w:multiLevelType w:val="multilevel"/>
    <w:tmpl w:val="93E8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CF3F7B"/>
    <w:multiLevelType w:val="multilevel"/>
    <w:tmpl w:val="40A2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405980">
    <w:abstractNumId w:val="4"/>
  </w:num>
  <w:num w:numId="2" w16cid:durableId="17120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136154">
    <w:abstractNumId w:val="3"/>
  </w:num>
  <w:num w:numId="4" w16cid:durableId="1046098800">
    <w:abstractNumId w:val="2"/>
  </w:num>
  <w:num w:numId="5" w16cid:durableId="130858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B9"/>
    <w:rsid w:val="00022832"/>
    <w:rsid w:val="002E7BB9"/>
    <w:rsid w:val="00923FB3"/>
    <w:rsid w:val="00A4515A"/>
    <w:rsid w:val="00A95B8A"/>
    <w:rsid w:val="00AD6A88"/>
    <w:rsid w:val="00C50F8C"/>
    <w:rsid w:val="00DB48EA"/>
    <w:rsid w:val="00E02744"/>
    <w:rsid w:val="00E96826"/>
    <w:rsid w:val="00FC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5AEC"/>
  <w15:chartTrackingRefBased/>
  <w15:docId w15:val="{B6C2BC01-7677-4980-A326-A2535E0E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B9"/>
    <w:rPr>
      <w:rFonts w:eastAsiaTheme="majorEastAsia" w:cstheme="majorBidi"/>
      <w:color w:val="272727" w:themeColor="text1" w:themeTint="D8"/>
    </w:rPr>
  </w:style>
  <w:style w:type="paragraph" w:styleId="Title">
    <w:name w:val="Title"/>
    <w:basedOn w:val="Normal"/>
    <w:next w:val="Normal"/>
    <w:link w:val="TitleChar"/>
    <w:uiPriority w:val="10"/>
    <w:qFormat/>
    <w:rsid w:val="002E7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B9"/>
    <w:pPr>
      <w:spacing w:before="160"/>
      <w:jc w:val="center"/>
    </w:pPr>
    <w:rPr>
      <w:i/>
      <w:iCs/>
      <w:color w:val="404040" w:themeColor="text1" w:themeTint="BF"/>
    </w:rPr>
  </w:style>
  <w:style w:type="character" w:customStyle="1" w:styleId="QuoteChar">
    <w:name w:val="Quote Char"/>
    <w:basedOn w:val="DefaultParagraphFont"/>
    <w:link w:val="Quote"/>
    <w:uiPriority w:val="29"/>
    <w:rsid w:val="002E7BB9"/>
    <w:rPr>
      <w:i/>
      <w:iCs/>
      <w:color w:val="404040" w:themeColor="text1" w:themeTint="BF"/>
    </w:rPr>
  </w:style>
  <w:style w:type="paragraph" w:styleId="ListParagraph">
    <w:name w:val="List Paragraph"/>
    <w:basedOn w:val="Normal"/>
    <w:uiPriority w:val="34"/>
    <w:qFormat/>
    <w:rsid w:val="002E7BB9"/>
    <w:pPr>
      <w:ind w:left="720"/>
      <w:contextualSpacing/>
    </w:pPr>
  </w:style>
  <w:style w:type="character" w:styleId="IntenseEmphasis">
    <w:name w:val="Intense Emphasis"/>
    <w:basedOn w:val="DefaultParagraphFont"/>
    <w:uiPriority w:val="21"/>
    <w:qFormat/>
    <w:rsid w:val="002E7BB9"/>
    <w:rPr>
      <w:i/>
      <w:iCs/>
      <w:color w:val="0F4761" w:themeColor="accent1" w:themeShade="BF"/>
    </w:rPr>
  </w:style>
  <w:style w:type="paragraph" w:styleId="IntenseQuote">
    <w:name w:val="Intense Quote"/>
    <w:basedOn w:val="Normal"/>
    <w:next w:val="Normal"/>
    <w:link w:val="IntenseQuoteChar"/>
    <w:uiPriority w:val="30"/>
    <w:qFormat/>
    <w:rsid w:val="002E7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BB9"/>
    <w:rPr>
      <w:i/>
      <w:iCs/>
      <w:color w:val="0F4761" w:themeColor="accent1" w:themeShade="BF"/>
    </w:rPr>
  </w:style>
  <w:style w:type="character" w:styleId="IntenseReference">
    <w:name w:val="Intense Reference"/>
    <w:basedOn w:val="DefaultParagraphFont"/>
    <w:uiPriority w:val="32"/>
    <w:qFormat/>
    <w:rsid w:val="002E7BB9"/>
    <w:rPr>
      <w:b/>
      <w:bCs/>
      <w:smallCaps/>
      <w:color w:val="0F4761" w:themeColor="accent1" w:themeShade="BF"/>
      <w:spacing w:val="5"/>
    </w:rPr>
  </w:style>
  <w:style w:type="character" w:styleId="Hyperlink">
    <w:name w:val="Hyperlink"/>
    <w:basedOn w:val="DefaultParagraphFont"/>
    <w:uiPriority w:val="99"/>
    <w:unhideWhenUsed/>
    <w:rsid w:val="00022832"/>
    <w:rPr>
      <w:color w:val="467886" w:themeColor="hyperlink"/>
      <w:u w:val="single"/>
    </w:rPr>
  </w:style>
  <w:style w:type="character" w:styleId="UnresolvedMention">
    <w:name w:val="Unresolved Mention"/>
    <w:basedOn w:val="DefaultParagraphFont"/>
    <w:uiPriority w:val="99"/>
    <w:semiHidden/>
    <w:unhideWhenUsed/>
    <w:rsid w:val="00022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 G</dc:creator>
  <cp:keywords/>
  <dc:description/>
  <cp:lastModifiedBy>Morris, Christopher G</cp:lastModifiedBy>
  <cp:revision>2</cp:revision>
  <dcterms:created xsi:type="dcterms:W3CDTF">2025-10-27T14:36:00Z</dcterms:created>
  <dcterms:modified xsi:type="dcterms:W3CDTF">2025-10-27T14:36:00Z</dcterms:modified>
</cp:coreProperties>
</file>